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024" w:rsidRPr="00074024" w:rsidRDefault="00074024" w:rsidP="00074024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074024">
        <w:rPr>
          <w:rFonts w:eastAsia="Times New Roman" w:cstheme="minorHAnsi"/>
          <w:sz w:val="36"/>
          <w:szCs w:val="36"/>
          <w:lang w:eastAsia="pl-PL"/>
        </w:rPr>
        <w:t>INFORMACJA HANDLOWA</w:t>
      </w:r>
    </w:p>
    <w:p w:rsidR="00074024" w:rsidRPr="00074024" w:rsidRDefault="00074024" w:rsidP="00074024">
      <w:pPr>
        <w:jc w:val="center"/>
        <w:rPr>
          <w:rFonts w:eastAsia="Times New Roman" w:cstheme="minorHAnsi"/>
          <w:lang w:eastAsia="pl-PL"/>
        </w:rPr>
      </w:pP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  <w:gridCol w:w="2205"/>
        <w:gridCol w:w="2573"/>
      </w:tblGrid>
      <w:tr w:rsidR="00074024" w:rsidRPr="00074024" w:rsidTr="000740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b/>
                <w:bCs/>
                <w:lang w:eastAsia="pl-PL"/>
              </w:rPr>
              <w:t>MODEL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b/>
                <w:bCs/>
                <w:lang w:eastAsia="pl-PL"/>
              </w:rPr>
              <w:t>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b/>
                <w:bCs/>
                <w:lang w:eastAsia="pl-PL"/>
              </w:rPr>
              <w:t>CENA DETALICZNA</w:t>
            </w:r>
          </w:p>
        </w:tc>
      </w:tr>
      <w:tr w:rsidR="00074024" w:rsidRPr="00074024" w:rsidTr="000740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lang w:eastAsia="pl-PL"/>
              </w:rPr>
              <w:t>MH-3 czarny mat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lang w:eastAsia="pl-PL"/>
              </w:rPr>
              <w:t>5704505301437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color w:val="FF0000"/>
                <w:lang w:eastAsia="pl-PL"/>
              </w:rPr>
              <w:t>1 700 PLN / szt.</w:t>
            </w:r>
          </w:p>
        </w:tc>
      </w:tr>
      <w:tr w:rsidR="00074024" w:rsidRPr="00074024" w:rsidTr="000740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lang w:eastAsia="pl-PL"/>
              </w:rPr>
              <w:t>MH-3 czarny wysoki połysk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lang w:eastAsia="pl-PL"/>
              </w:rPr>
              <w:t>5704505301406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color w:val="FF0000"/>
                <w:lang w:eastAsia="pl-PL"/>
              </w:rPr>
              <w:t>1 700 PLN / szt</w:t>
            </w:r>
            <w:r w:rsidRPr="00074024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074024" w:rsidRPr="00074024" w:rsidTr="000740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lang w:eastAsia="pl-PL"/>
              </w:rPr>
              <w:t>MH-3 biały mat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lang w:eastAsia="pl-PL"/>
              </w:rPr>
              <w:t>5704505301413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color w:val="FF0000"/>
                <w:lang w:eastAsia="pl-PL"/>
              </w:rPr>
              <w:t>1 700 PLN / szt.</w:t>
            </w:r>
          </w:p>
        </w:tc>
      </w:tr>
    </w:tbl>
    <w:p w:rsidR="00074024" w:rsidRPr="00074024" w:rsidRDefault="00074024" w:rsidP="00074024">
      <w:pPr>
        <w:spacing w:after="10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 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5"/>
      </w:tblGrid>
      <w:tr w:rsidR="00074024" w:rsidRPr="00074024" w:rsidTr="000740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lang w:eastAsia="pl-PL"/>
              </w:rPr>
              <w:t>opis produktu: </w:t>
            </w:r>
            <w:hyperlink r:id="rId5" w:tgtFrame="_blank" w:history="1">
              <w:r w:rsidRPr="00074024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</w:t>
              </w:r>
              <w:proofErr w:type="spellStart"/>
              <w:r w:rsidRPr="00074024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docx</w:t>
              </w:r>
              <w:proofErr w:type="spellEnd"/>
            </w:hyperlink>
          </w:p>
        </w:tc>
      </w:tr>
      <w:tr w:rsidR="00074024" w:rsidRPr="00074024" w:rsidTr="000740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lang w:eastAsia="pl-PL"/>
              </w:rPr>
              <w:t>zestaw zdjęć: </w:t>
            </w:r>
            <w:hyperlink r:id="rId6" w:tgtFrame="_blank" w:history="1">
              <w:r w:rsidRPr="00074024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.zip</w:t>
              </w:r>
            </w:hyperlink>
          </w:p>
        </w:tc>
      </w:tr>
      <w:tr w:rsidR="00074024" w:rsidRPr="00074024" w:rsidTr="000740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lang w:eastAsia="pl-PL"/>
              </w:rPr>
              <w:t>instrukcja obsługi PL: pobierz plik .</w:t>
            </w:r>
            <w:proofErr w:type="spellStart"/>
            <w:r w:rsidRPr="00074024">
              <w:rPr>
                <w:rFonts w:eastAsia="Times New Roman" w:cstheme="minorHAnsi"/>
                <w:lang w:eastAsia="pl-PL"/>
              </w:rPr>
              <w:t>docx</w:t>
            </w:r>
            <w:proofErr w:type="spellEnd"/>
          </w:p>
        </w:tc>
      </w:tr>
      <w:tr w:rsidR="00074024" w:rsidRPr="00074024" w:rsidTr="000740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24" w:rsidRPr="00074024" w:rsidRDefault="00074024" w:rsidP="00074024">
            <w:pPr>
              <w:rPr>
                <w:rFonts w:eastAsia="Times New Roman" w:cstheme="minorHAnsi"/>
                <w:lang w:eastAsia="pl-PL"/>
              </w:rPr>
            </w:pPr>
            <w:r w:rsidRPr="00074024">
              <w:rPr>
                <w:rFonts w:eastAsia="Times New Roman" w:cstheme="minorHAnsi"/>
                <w:lang w:eastAsia="pl-PL"/>
              </w:rPr>
              <w:t>gdzie kupić: </w:t>
            </w:r>
            <w:proofErr w:type="spellStart"/>
            <w:r w:rsidRPr="00074024">
              <w:rPr>
                <w:rFonts w:eastAsia="Times New Roman" w:cstheme="minorHAnsi"/>
                <w:lang w:eastAsia="pl-PL"/>
              </w:rPr>
              <w:fldChar w:fldCharType="begin"/>
            </w:r>
            <w:r w:rsidRPr="00074024">
              <w:rPr>
                <w:rFonts w:eastAsia="Times New Roman" w:cstheme="minorHAnsi"/>
                <w:lang w:eastAsia="pl-PL"/>
              </w:rPr>
              <w:instrText xml:space="preserve"> HYPERLINK "https://www.trimex.pl/dealerzy" </w:instrText>
            </w:r>
            <w:r w:rsidRPr="00074024">
              <w:rPr>
                <w:rFonts w:eastAsia="Times New Roman" w:cstheme="minorHAnsi"/>
                <w:lang w:eastAsia="pl-PL"/>
              </w:rPr>
              <w:fldChar w:fldCharType="separate"/>
            </w:r>
            <w:r w:rsidRPr="00074024">
              <w:rPr>
                <w:rFonts w:eastAsia="Times New Roman" w:cstheme="minorHAnsi"/>
                <w:color w:val="CC0000"/>
                <w:u w:val="single"/>
                <w:lang w:eastAsia="pl-PL"/>
              </w:rPr>
              <w:t>autrozyowane</w:t>
            </w:r>
            <w:proofErr w:type="spellEnd"/>
            <w:r w:rsidRPr="00074024">
              <w:rPr>
                <w:rFonts w:eastAsia="Times New Roman" w:cstheme="minorHAnsi"/>
                <w:color w:val="CC0000"/>
                <w:u w:val="single"/>
                <w:lang w:eastAsia="pl-PL"/>
              </w:rPr>
              <w:t xml:space="preserve"> salony</w:t>
            </w:r>
            <w:r w:rsidRPr="00074024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074024" w:rsidRPr="00074024" w:rsidRDefault="00074024" w:rsidP="00074024">
      <w:pPr>
        <w:spacing w:after="10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 </w:t>
      </w:r>
    </w:p>
    <w:p w:rsidR="00074024" w:rsidRPr="00074024" w:rsidRDefault="00074024" w:rsidP="00074024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074024">
        <w:rPr>
          <w:rFonts w:eastAsia="Times New Roman" w:cstheme="minorHAnsi"/>
          <w:sz w:val="36"/>
          <w:szCs w:val="36"/>
          <w:lang w:eastAsia="pl-PL"/>
        </w:rPr>
        <w:br/>
        <w:t>OPIS PRODUKTU LYNGDORF MH-3</w:t>
      </w:r>
    </w:p>
    <w:p w:rsidR="00074024" w:rsidRPr="00074024" w:rsidRDefault="00074024" w:rsidP="00074024">
      <w:pPr>
        <w:spacing w:after="105"/>
        <w:jc w:val="center"/>
        <w:rPr>
          <w:rFonts w:eastAsia="Times New Roman" w:cstheme="minorHAnsi"/>
          <w:lang w:eastAsia="pl-PL"/>
        </w:rPr>
      </w:pPr>
    </w:p>
    <w:p w:rsidR="00074024" w:rsidRPr="00074024" w:rsidRDefault="00074024" w:rsidP="00074024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074024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074024">
        <w:rPr>
          <w:rFonts w:eastAsia="Times New Roman" w:cstheme="minorHAnsi"/>
          <w:b/>
          <w:bCs/>
          <w:lang w:eastAsia="pl-PL"/>
        </w:rPr>
        <w:t xml:space="preserve"> MH-3 </w:t>
      </w:r>
      <w:r w:rsidRPr="00074024">
        <w:rPr>
          <w:rFonts w:eastAsia="Times New Roman" w:cstheme="minorHAnsi"/>
          <w:lang w:eastAsia="pl-PL"/>
        </w:rPr>
        <w:t xml:space="preserve">to ekstremalnie kompaktowe kolumny głośnikowe. W oparciu o kompaktowe konstrukcje głośników </w:t>
      </w:r>
      <w:proofErr w:type="spellStart"/>
      <w:r w:rsidRPr="00074024">
        <w:rPr>
          <w:rFonts w:eastAsia="Times New Roman" w:cstheme="minorHAnsi"/>
          <w:lang w:eastAsia="pl-PL"/>
        </w:rPr>
        <w:t>Lyngdorf</w:t>
      </w:r>
      <w:proofErr w:type="spellEnd"/>
      <w:r w:rsidRPr="00074024">
        <w:rPr>
          <w:rFonts w:eastAsia="Times New Roman" w:cstheme="minorHAnsi"/>
          <w:lang w:eastAsia="pl-PL"/>
        </w:rPr>
        <w:t>, </w:t>
      </w:r>
      <w:r w:rsidRPr="00074024">
        <w:rPr>
          <w:rFonts w:eastAsia="Times New Roman" w:cstheme="minorHAnsi"/>
          <w:b/>
          <w:bCs/>
          <w:lang w:eastAsia="pl-PL"/>
        </w:rPr>
        <w:t>MH-3</w:t>
      </w:r>
      <w:r w:rsidRPr="00074024">
        <w:rPr>
          <w:rFonts w:eastAsia="Times New Roman" w:cstheme="minorHAnsi"/>
          <w:lang w:eastAsia="pl-PL"/>
        </w:rPr>
        <w:t> ustanawia nową poprzeczkę w zakresie tego, jak mały może być głośnik, zapewniając wysoką dynamikę, koncentrując się na odtwarzaniu otwartych głosów i ciasnych stanów nieustalonych. </w:t>
      </w:r>
      <w:r w:rsidRPr="00074024">
        <w:rPr>
          <w:rFonts w:eastAsia="Times New Roman" w:cstheme="minorHAnsi"/>
          <w:b/>
          <w:bCs/>
          <w:lang w:eastAsia="pl-PL"/>
        </w:rPr>
        <w:t>MH-3</w:t>
      </w:r>
      <w:r w:rsidRPr="00074024">
        <w:rPr>
          <w:rFonts w:eastAsia="Times New Roman" w:cstheme="minorHAnsi"/>
          <w:lang w:eastAsia="pl-PL"/>
        </w:rPr>
        <w:t xml:space="preserve"> jest optymalnym wyborem dla małej instalacji stereo lub większej z </w:t>
      </w:r>
      <w:proofErr w:type="spellStart"/>
      <w:r w:rsidRPr="00074024">
        <w:rPr>
          <w:rFonts w:eastAsia="Times New Roman" w:cstheme="minorHAnsi"/>
          <w:lang w:eastAsia="pl-PL"/>
        </w:rPr>
        <w:t>wooferami</w:t>
      </w:r>
      <w:proofErr w:type="spellEnd"/>
      <w:r w:rsidRPr="00074024">
        <w:rPr>
          <w:rFonts w:eastAsia="Times New Roman" w:cstheme="minorHAnsi"/>
          <w:lang w:eastAsia="pl-PL"/>
        </w:rPr>
        <w:t xml:space="preserve"> BW-3.</w:t>
      </w:r>
    </w:p>
    <w:p w:rsidR="00074024" w:rsidRPr="00074024" w:rsidRDefault="00074024" w:rsidP="00074024">
      <w:pPr>
        <w:spacing w:after="105"/>
        <w:jc w:val="both"/>
        <w:rPr>
          <w:rFonts w:eastAsia="Times New Roman" w:cstheme="minorHAnsi"/>
          <w:lang w:eastAsia="pl-PL"/>
        </w:rPr>
      </w:pPr>
    </w:p>
    <w:p w:rsidR="00074024" w:rsidRPr="00074024" w:rsidRDefault="00074024" w:rsidP="00074024">
      <w:pPr>
        <w:spacing w:after="105"/>
        <w:jc w:val="center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b/>
          <w:bCs/>
          <w:lang w:eastAsia="pl-PL"/>
        </w:rPr>
        <w:t>MOCNY I KOMPAKTOWY</w:t>
      </w:r>
    </w:p>
    <w:p w:rsidR="00074024" w:rsidRPr="00074024" w:rsidRDefault="00074024" w:rsidP="00074024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074024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074024">
        <w:rPr>
          <w:rFonts w:eastAsia="Times New Roman" w:cstheme="minorHAnsi"/>
          <w:b/>
          <w:bCs/>
          <w:lang w:eastAsia="pl-PL"/>
        </w:rPr>
        <w:t xml:space="preserve"> MH-3</w:t>
      </w:r>
      <w:r w:rsidRPr="00074024">
        <w:rPr>
          <w:rFonts w:eastAsia="Times New Roman" w:cstheme="minorHAnsi"/>
          <w:lang w:eastAsia="pl-PL"/>
        </w:rPr>
        <w:t xml:space="preserve"> to dwudrożny głośnik z potężnym 4-calowym głośnikiem </w:t>
      </w:r>
      <w:proofErr w:type="spellStart"/>
      <w:r w:rsidRPr="00074024">
        <w:rPr>
          <w:rFonts w:eastAsia="Times New Roman" w:cstheme="minorHAnsi"/>
          <w:lang w:eastAsia="pl-PL"/>
        </w:rPr>
        <w:t>średniotonowym</w:t>
      </w:r>
      <w:proofErr w:type="spellEnd"/>
      <w:r w:rsidRPr="00074024">
        <w:rPr>
          <w:rFonts w:eastAsia="Times New Roman" w:cstheme="minorHAnsi"/>
          <w:lang w:eastAsia="pl-PL"/>
        </w:rPr>
        <w:t xml:space="preserve"> zamontowanym w bardzo kompaktowej obudowie z uchwytami ściennymi. Aby uzyskać </w:t>
      </w:r>
      <w:proofErr w:type="spellStart"/>
      <w:r w:rsidRPr="00074024">
        <w:rPr>
          <w:rFonts w:eastAsia="Times New Roman" w:cstheme="minorHAnsi"/>
          <w:lang w:eastAsia="pl-PL"/>
        </w:rPr>
        <w:t>audiofilską</w:t>
      </w:r>
      <w:proofErr w:type="spellEnd"/>
      <w:r w:rsidRPr="00074024">
        <w:rPr>
          <w:rFonts w:eastAsia="Times New Roman" w:cstheme="minorHAnsi"/>
          <w:lang w:eastAsia="pl-PL"/>
        </w:rPr>
        <w:t xml:space="preserve"> wydajność w tej niezwykle małej obudowie, zaprojektowaliśmy przetwornik z magnesem o 50% silniejszym niż tradycyjne 4-calowe przetworniki. Taka konstrukcja magnesu zapewnia wyższą czułość i liniową charakterystykę częstotliwościową.</w:t>
      </w:r>
    </w:p>
    <w:p w:rsidR="00074024" w:rsidRPr="00074024" w:rsidRDefault="00074024" w:rsidP="00074024">
      <w:pPr>
        <w:spacing w:after="105"/>
        <w:jc w:val="both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Aluminiowa membrana wraz z odwróconą nasadką przeciwpyłową tworzy niezwykle lekki i sztywny przetwornik zaprojektowany z pojedynczym, dobrze określonym punktem rozpadu, który łatwo można przeciwdziałać w wewnętrznych filtrach. Rezultatem jest naturalny i szczegółowy dźwięk nawet przy wysokim poziomie odtwarzania.</w:t>
      </w:r>
    </w:p>
    <w:p w:rsidR="00074024" w:rsidRPr="00074024" w:rsidRDefault="00074024" w:rsidP="00074024">
      <w:pPr>
        <w:spacing w:after="105"/>
        <w:jc w:val="both"/>
        <w:rPr>
          <w:rFonts w:eastAsia="Times New Roman" w:cstheme="minorHAnsi"/>
          <w:lang w:eastAsia="pl-PL"/>
        </w:rPr>
      </w:pPr>
    </w:p>
    <w:p w:rsidR="00074024" w:rsidRPr="00074024" w:rsidRDefault="00074024" w:rsidP="00074024">
      <w:pPr>
        <w:spacing w:after="105"/>
        <w:jc w:val="center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b/>
          <w:bCs/>
          <w:lang w:eastAsia="pl-PL"/>
        </w:rPr>
        <w:t>STWORZONY BY GRAĆ GŁOŚNO</w:t>
      </w:r>
    </w:p>
    <w:p w:rsidR="00074024" w:rsidRDefault="00074024" w:rsidP="00074024">
      <w:pPr>
        <w:spacing w:after="105"/>
        <w:jc w:val="both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Dzięki czystemu i relaksującemu dźwiękowi </w:t>
      </w:r>
      <w:r w:rsidRPr="00074024">
        <w:rPr>
          <w:rFonts w:eastAsia="Times New Roman" w:cstheme="minorHAnsi"/>
          <w:b/>
          <w:bCs/>
          <w:lang w:eastAsia="pl-PL"/>
        </w:rPr>
        <w:t>MH-3</w:t>
      </w:r>
      <w:r w:rsidRPr="00074024">
        <w:rPr>
          <w:rFonts w:eastAsia="Times New Roman" w:cstheme="minorHAnsi"/>
          <w:lang w:eastAsia="pl-PL"/>
        </w:rPr>
        <w:t xml:space="preserve"> pozwala na głośne granie przez całą noc. Głośnik został zaprojektowany z myślą o wysokiej wydajności dzięki zastosowaniu odpornej na temperaturę cewki drgającej wykonanej z włókna szklanego i impregnowanej żywicą </w:t>
      </w:r>
      <w:proofErr w:type="spellStart"/>
      <w:r w:rsidRPr="00074024">
        <w:rPr>
          <w:rFonts w:eastAsia="Times New Roman" w:cstheme="minorHAnsi"/>
          <w:lang w:eastAsia="pl-PL"/>
        </w:rPr>
        <w:t>poliimidową</w:t>
      </w:r>
      <w:proofErr w:type="spellEnd"/>
      <w:r w:rsidRPr="00074024">
        <w:rPr>
          <w:rFonts w:eastAsia="Times New Roman" w:cstheme="minorHAnsi"/>
          <w:lang w:eastAsia="pl-PL"/>
        </w:rPr>
        <w:t>. Posiada wentylowany magnes, a także miedzianą nasadkę na magnes. Wszystko te minimalizuje wzrost temperatury i zniekształcenie.</w:t>
      </w:r>
    </w:p>
    <w:p w:rsidR="00074024" w:rsidRPr="00074024" w:rsidRDefault="00074024" w:rsidP="00074024">
      <w:pPr>
        <w:spacing w:after="105"/>
        <w:jc w:val="both"/>
        <w:rPr>
          <w:rFonts w:eastAsia="Times New Roman" w:cstheme="minorHAnsi"/>
          <w:lang w:eastAsia="pl-PL"/>
        </w:rPr>
      </w:pPr>
    </w:p>
    <w:p w:rsidR="00074024" w:rsidRPr="00074024" w:rsidRDefault="00074024" w:rsidP="00074024">
      <w:pPr>
        <w:spacing w:after="105"/>
        <w:jc w:val="center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b/>
          <w:bCs/>
          <w:lang w:eastAsia="pl-PL"/>
        </w:rPr>
        <w:lastRenderedPageBreak/>
        <w:t>ELASTYCZNOŚĆ W INSTALACJI</w:t>
      </w:r>
    </w:p>
    <w:p w:rsidR="00074024" w:rsidRPr="00074024" w:rsidRDefault="00074024" w:rsidP="00074024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074024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074024">
        <w:rPr>
          <w:rFonts w:eastAsia="Times New Roman" w:cstheme="minorHAnsi"/>
          <w:b/>
          <w:bCs/>
          <w:lang w:eastAsia="pl-PL"/>
        </w:rPr>
        <w:t xml:space="preserve"> MH-3</w:t>
      </w:r>
      <w:r w:rsidRPr="00074024">
        <w:rPr>
          <w:rFonts w:eastAsia="Times New Roman" w:cstheme="minorHAnsi"/>
          <w:lang w:eastAsia="pl-PL"/>
        </w:rPr>
        <w:t> zapewnia elastyczność ustawienia dzięki kompaktowej obudowie i specjalnej konstrukcji głośnika wysokotonowego. MH-3 może być umieszczony 30 cm powyżej lub poniżej wysokości odsłuchu, bez uszczerbku dla wrażeń odsłuchowych. Jest to wynikiem bardzo kompaktowej konstrukcji głośnika wysokotonowego z miękką kopułką, wybranego ze względu na jego lekką konstrukcję, niski poziom hałasu i liniową charakterystykę częstotliwościową. Ten głośnik wysokotonowy ma tę dodatkową zaletę, że podkreśla muzykalność w porównaniu z właściwościami analitycznymi, zapewniając w ten sposób prawdziwie muzyczne wrażenia.</w:t>
      </w:r>
    </w:p>
    <w:p w:rsidR="00074024" w:rsidRPr="00074024" w:rsidRDefault="00074024" w:rsidP="00074024">
      <w:pPr>
        <w:spacing w:after="105"/>
        <w:jc w:val="both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 xml:space="preserve">Łatwość instalacji idzie o krok dalej dzięki bardzo kompaktowej obudowie przeznaczonej do montażu na ścianie. Głębokość obudowy została zmniejszona do nieco ponad trzech cali, co zapewnia dyskretne umieszczenie. Jak można się spodziewać po </w:t>
      </w:r>
      <w:proofErr w:type="spellStart"/>
      <w:r w:rsidRPr="00074024">
        <w:rPr>
          <w:rFonts w:eastAsia="Times New Roman" w:cstheme="minorHAnsi"/>
          <w:lang w:eastAsia="pl-PL"/>
        </w:rPr>
        <w:t>Lyngdorf</w:t>
      </w:r>
      <w:proofErr w:type="spellEnd"/>
      <w:r w:rsidRPr="00074024">
        <w:rPr>
          <w:rFonts w:eastAsia="Times New Roman" w:cstheme="minorHAnsi"/>
          <w:lang w:eastAsia="pl-PL"/>
        </w:rPr>
        <w:t xml:space="preserve"> Audio, jakość obudowy wynika z solidnej struktury, która podkreśla naszą koncentrację na dynamicznej reprodukcji muzyki i wysokiej jakości wykonania.</w:t>
      </w:r>
    </w:p>
    <w:p w:rsidR="00074024" w:rsidRPr="00074024" w:rsidRDefault="00074024" w:rsidP="00074024">
      <w:pPr>
        <w:spacing w:after="105"/>
        <w:jc w:val="both"/>
        <w:rPr>
          <w:rFonts w:eastAsia="Times New Roman" w:cstheme="minorHAnsi"/>
          <w:lang w:eastAsia="pl-PL"/>
        </w:rPr>
      </w:pPr>
    </w:p>
    <w:p w:rsidR="00074024" w:rsidRPr="00074024" w:rsidRDefault="00074024" w:rsidP="00074024">
      <w:pPr>
        <w:spacing w:after="105"/>
        <w:jc w:val="center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b/>
          <w:bCs/>
          <w:lang w:eastAsia="pl-PL"/>
        </w:rPr>
        <w:t>DANE TECHNICZNE</w:t>
      </w:r>
    </w:p>
    <w:p w:rsidR="00074024" w:rsidRPr="00074024" w:rsidRDefault="00074024" w:rsidP="0007402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Rodzaj kolumny: Dwudrożna kolumna</w:t>
      </w:r>
    </w:p>
    <w:p w:rsidR="00074024" w:rsidRPr="00074024" w:rsidRDefault="00074024" w:rsidP="0007402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Moc ciągła: 80 W</w:t>
      </w:r>
    </w:p>
    <w:p w:rsidR="00074024" w:rsidRPr="00074024" w:rsidRDefault="00074024" w:rsidP="0007402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Impedancja znamionowa: 4 Ohm</w:t>
      </w:r>
    </w:p>
    <w:p w:rsidR="00074024" w:rsidRPr="00074024" w:rsidRDefault="00074024" w:rsidP="0007402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Głośnik wysokotonowy: </w:t>
      </w:r>
    </w:p>
    <w:p w:rsidR="00074024" w:rsidRPr="00074024" w:rsidRDefault="00074024" w:rsidP="00074024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25 mm miękka kopułka tekstylna, ochrona TCP</w:t>
      </w:r>
    </w:p>
    <w:p w:rsidR="00074024" w:rsidRPr="00074024" w:rsidRDefault="00074024" w:rsidP="0007402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 xml:space="preserve">Głośnik </w:t>
      </w:r>
      <w:proofErr w:type="spellStart"/>
      <w:r w:rsidRPr="00074024">
        <w:rPr>
          <w:rFonts w:eastAsia="Times New Roman" w:cstheme="minorHAnsi"/>
          <w:lang w:eastAsia="pl-PL"/>
        </w:rPr>
        <w:t>średniotonowy</w:t>
      </w:r>
      <w:proofErr w:type="spellEnd"/>
      <w:r w:rsidRPr="00074024">
        <w:rPr>
          <w:rFonts w:eastAsia="Times New Roman" w:cstheme="minorHAnsi"/>
          <w:lang w:eastAsia="pl-PL"/>
        </w:rPr>
        <w:t>: </w:t>
      </w:r>
    </w:p>
    <w:p w:rsidR="00074024" w:rsidRPr="00074024" w:rsidRDefault="00074024" w:rsidP="00074024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4” twarda aluminiowa membrana</w:t>
      </w:r>
    </w:p>
    <w:p w:rsidR="00074024" w:rsidRPr="00074024" w:rsidRDefault="00074024" w:rsidP="00074024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25 mm cewka</w:t>
      </w:r>
    </w:p>
    <w:p w:rsidR="00074024" w:rsidRPr="00074024" w:rsidRDefault="00074024" w:rsidP="00074024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wentylowane magnesy</w:t>
      </w:r>
    </w:p>
    <w:p w:rsidR="00074024" w:rsidRPr="00074024" w:rsidRDefault="00074024" w:rsidP="0007402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Konstrukcja: zamknięta, w pełni z MDF, pojemność 0,8 litra</w:t>
      </w:r>
    </w:p>
    <w:p w:rsidR="00074024" w:rsidRPr="00074024" w:rsidRDefault="00074024" w:rsidP="0007402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Pasmo przenoszenia: 110Hz – 20000Hz</w:t>
      </w:r>
    </w:p>
    <w:p w:rsidR="00074024" w:rsidRPr="00074024" w:rsidRDefault="00074024" w:rsidP="0007402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 xml:space="preserve">Skuteczność: 84 </w:t>
      </w:r>
      <w:proofErr w:type="spellStart"/>
      <w:r w:rsidRPr="00074024">
        <w:rPr>
          <w:rFonts w:eastAsia="Times New Roman" w:cstheme="minorHAnsi"/>
          <w:lang w:eastAsia="pl-PL"/>
        </w:rPr>
        <w:t>dB</w:t>
      </w:r>
      <w:proofErr w:type="spellEnd"/>
      <w:r w:rsidRPr="00074024">
        <w:rPr>
          <w:rFonts w:eastAsia="Times New Roman" w:cstheme="minorHAnsi"/>
          <w:lang w:eastAsia="pl-PL"/>
        </w:rPr>
        <w:t xml:space="preserve"> (2.87V / 1m)</w:t>
      </w:r>
    </w:p>
    <w:p w:rsidR="00074024" w:rsidRPr="00074024" w:rsidRDefault="00074024" w:rsidP="0007402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Punkt podziału: 2,7kHz</w:t>
      </w:r>
    </w:p>
    <w:p w:rsidR="00074024" w:rsidRPr="00074024" w:rsidRDefault="00074024" w:rsidP="0007402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Wymiary: 14 x 19,2 x 8 (</w:t>
      </w:r>
      <w:proofErr w:type="spellStart"/>
      <w:r w:rsidRPr="00074024">
        <w:rPr>
          <w:rFonts w:eastAsia="Times New Roman" w:cstheme="minorHAnsi"/>
          <w:lang w:eastAsia="pl-PL"/>
        </w:rPr>
        <w:t>SxWxG</w:t>
      </w:r>
      <w:proofErr w:type="spellEnd"/>
      <w:r w:rsidRPr="00074024">
        <w:rPr>
          <w:rFonts w:eastAsia="Times New Roman" w:cstheme="minorHAnsi"/>
          <w:lang w:eastAsia="pl-PL"/>
        </w:rPr>
        <w:t>) cm</w:t>
      </w:r>
    </w:p>
    <w:p w:rsidR="00074024" w:rsidRPr="00074024" w:rsidRDefault="00074024" w:rsidP="0007402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Masa netto: 2,3 kg</w:t>
      </w:r>
    </w:p>
    <w:p w:rsidR="00074024" w:rsidRPr="00074024" w:rsidRDefault="00074024" w:rsidP="0007402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Dostępne wykończenia: czarne (wysoki połysk), czarne (mat), białe (mat)</w:t>
      </w:r>
    </w:p>
    <w:p w:rsidR="00074024" w:rsidRPr="00074024" w:rsidRDefault="00074024" w:rsidP="00074024">
      <w:pPr>
        <w:spacing w:after="105"/>
        <w:rPr>
          <w:rFonts w:eastAsia="Times New Roman" w:cstheme="minorHAnsi"/>
          <w:lang w:eastAsia="pl-PL"/>
        </w:rPr>
      </w:pPr>
    </w:p>
    <w:p w:rsidR="00074024" w:rsidRPr="00074024" w:rsidRDefault="00074024" w:rsidP="00074024">
      <w:pPr>
        <w:spacing w:after="105"/>
        <w:jc w:val="center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 </w:t>
      </w:r>
      <w:r w:rsidRPr="00074024">
        <w:rPr>
          <w:rFonts w:eastAsia="Times New Roman" w:cstheme="minorHAnsi"/>
          <w:b/>
          <w:bCs/>
          <w:lang w:eastAsia="pl-PL"/>
        </w:rPr>
        <w:t>ZDJĘCIA</w:t>
      </w:r>
    </w:p>
    <w:p w:rsidR="00074024" w:rsidRPr="00074024" w:rsidRDefault="00074024" w:rsidP="00074024">
      <w:pPr>
        <w:spacing w:after="105"/>
        <w:jc w:val="both"/>
        <w:rPr>
          <w:rFonts w:eastAsia="Times New Roman" w:cstheme="minorHAnsi"/>
          <w:lang w:eastAsia="pl-PL"/>
        </w:rPr>
      </w:pPr>
      <w:r w:rsidRPr="00074024">
        <w:rPr>
          <w:rFonts w:eastAsia="Times New Roman" w:cstheme="minorHAnsi"/>
          <w:lang w:eastAsia="pl-PL"/>
        </w:rPr>
        <w:t>Zdjęcia do wykorzystania np. na stronach/sklepach internetowych zamieszczamy </w:t>
      </w:r>
      <w:hyperlink r:id="rId7" w:history="1">
        <w:r w:rsidRPr="00074024">
          <w:rPr>
            <w:rFonts w:eastAsia="Times New Roman" w:cstheme="minorHAnsi"/>
            <w:color w:val="CC0000"/>
            <w:u w:val="single"/>
            <w:lang w:eastAsia="pl-PL"/>
          </w:rPr>
          <w:t>tutaj</w:t>
        </w:r>
      </w:hyperlink>
      <w:r w:rsidRPr="00074024">
        <w:rPr>
          <w:rFonts w:eastAsia="Times New Roman" w:cstheme="minorHAnsi"/>
          <w:lang w:eastAsia="pl-PL"/>
        </w:rPr>
        <w:t>. W przypadku potrzeby użycia zdjęć w wyższej rozdzielczości zapraszamy do kontaktu!</w:t>
      </w:r>
    </w:p>
    <w:p w:rsidR="008B4ED4" w:rsidRPr="00074024" w:rsidRDefault="00074024">
      <w:pPr>
        <w:rPr>
          <w:rFonts w:cstheme="minorHAnsi"/>
        </w:rPr>
      </w:pPr>
    </w:p>
    <w:sectPr w:rsidR="008B4ED4" w:rsidRPr="00074024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B342A"/>
    <w:multiLevelType w:val="multilevel"/>
    <w:tmpl w:val="C3E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24"/>
    <w:rsid w:val="00074024"/>
    <w:rsid w:val="0008569E"/>
    <w:rsid w:val="00137364"/>
    <w:rsid w:val="00687885"/>
    <w:rsid w:val="00843947"/>
    <w:rsid w:val="008D47A5"/>
    <w:rsid w:val="009C46F5"/>
    <w:rsid w:val="00A47C5D"/>
    <w:rsid w:val="00BB0E57"/>
    <w:rsid w:val="00BB7014"/>
    <w:rsid w:val="00BC6C86"/>
    <w:rsid w:val="00BF6E3D"/>
    <w:rsid w:val="00CC3E12"/>
    <w:rsid w:val="00F3191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8F1B"/>
  <w14:defaultImageDpi w14:val="32767"/>
  <w15:chartTrackingRefBased/>
  <w15:docId w15:val="{B15CA540-E66E-DA4A-B927-A46336EF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740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740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740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40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074024"/>
  </w:style>
  <w:style w:type="character" w:styleId="Hipercze">
    <w:name w:val="Hyperlink"/>
    <w:basedOn w:val="Domylnaczcionkaakapitu"/>
    <w:uiPriority w:val="99"/>
    <w:semiHidden/>
    <w:unhideWhenUsed/>
    <w:rsid w:val="00074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0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0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yngdorf.com.pl/images/produkty/lyngdorf-mh-3-foto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mex.pl/images/produkty/lyngdorf-mh-3-foto.zip" TargetMode="External"/><Relationship Id="rId5" Type="http://schemas.openxmlformats.org/officeDocument/2006/relationships/hyperlink" Target="https://www.trimex.pl/images/produkty/lyngdorf-mh-3-info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1</cp:revision>
  <dcterms:created xsi:type="dcterms:W3CDTF">2020-06-05T09:31:00Z</dcterms:created>
  <dcterms:modified xsi:type="dcterms:W3CDTF">2020-06-05T09:33:00Z</dcterms:modified>
</cp:coreProperties>
</file>